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start_del"/>
      <w:bookmarkStart w:id="1" w:name="start_del"/>
      <w:bookmarkEnd w:id="1"/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7"/>
        <w:gridCol w:w="1002"/>
        <w:gridCol w:w="4570"/>
      </w:tblGrid>
      <w:tr>
        <w:trPr>
          <w:trHeight w:val="1740" w:hRule="atLeast"/>
        </w:trPr>
        <w:tc>
          <w:tcPr>
            <w:tcW w:w="406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exact" w:line="24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ГОСУДАРСТВЕННОЕ ОБРАЗОВАТЕЛЬНОЕ УЧРЕЖДЕНИЕ ДОПОЛНИТЕЛЬНОГО ПРОФЕССИОНАЛЬНОГО ОБРАЗОВАНИЯ ТУЛЬСКОЙ ОБЛАСТИ «ИНСТИТУТ ПОВЫШЕНИЯ КВАЛИФИКАЦИИ </w:t>
              <w:br/>
              <w:t>И ПРОФЕССИОНАЛЬНОЙ ПЕРЕПОДГОТОВКИ РАБОТНИКОВ ОБРАЗОВАНИЯ ТУЛЬСКОЙ ОБЛАСТИ»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exact" w:line="240"/>
              <w:jc w:val="center"/>
              <w:rPr>
                <w:rFonts w:ascii="PT Astra Serif" w:hAnsi="PT Astra Serif"/>
                <w:b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(ГОУ ДПО ТО «ИПК И ППРО ТО»)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exact" w:line="240"/>
              <w:jc w:val="center"/>
              <w:rPr>
                <w:rFonts w:ascii="PT Astra Serif" w:hAnsi="PT Astra Serif"/>
                <w:b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PT Astra Serif" w:hAnsi="PT Astra Serif"/>
                <w:b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ул. Ленина, д. 22, г. Тула, 300041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PT Astra Serif" w:hAnsi="PT Astra Serif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.: (4872) 56-73-62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PT Astra Serif" w:hAnsi="PT Astra Serif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E-mail: gou.ipk@tularegion.ru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PT Astra Serif" w:hAnsi="PT Astra Serif"/>
                <w:b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http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://ipk-tula.r</w:t>
            </w: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u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exact" w:line="220"/>
              <w:jc w:val="center"/>
              <w:rPr>
                <w:rFonts w:ascii="PT Astra Serif" w:hAnsi="PT Astra Serif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PT Astra Serif" w:hAnsi="PT Astra Serif"/>
                <w:b/>
                <w:bCs/>
                <w:sz w:val="20"/>
                <w:szCs w:val="20"/>
              </w:rPr>
              <w:t>ОКПО 34429246, ОГРН 1027100756792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PT Astra Serif" w:hAnsi="PT Astra Serif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PT Astra Serif" w:hAnsi="PT Astra Serif"/>
                <w:b/>
                <w:bCs/>
                <w:sz w:val="20"/>
                <w:szCs w:val="20"/>
              </w:rPr>
              <w:t>ИНН/КПП 7106019100/710601001</w:t>
            </w:r>
          </w:p>
          <w:p>
            <w:pPr>
              <w:pStyle w:val="Normal"/>
              <w:spacing w:lineRule="exact" w:line="26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Normal"/>
              <w:spacing w:lineRule="exact" w:line="220"/>
              <w:rPr>
                <w:rFonts w:ascii="PT Astra Serif" w:hAnsi="PT Astra Serif"/>
                <w:b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  <w:u w:val="single"/>
              </w:rPr>
            </w:r>
          </w:p>
        </w:tc>
        <w:tc>
          <w:tcPr>
            <w:tcW w:w="100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exact" w:line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70" w:type="dxa"/>
            <w:vMerge w:val="restart"/>
            <w:tcBorders/>
            <w:shd w:color="auto" w:fill="auto" w:val="clear"/>
          </w:tcPr>
          <w:p>
            <w:pPr>
              <w:pStyle w:val="Normal"/>
              <w:ind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>
            <w:pPr>
              <w:pStyle w:val="Normal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firstLine="3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Руководителям </w:t>
            </w:r>
            <w:r>
              <w:rPr>
                <w:sz w:val="26"/>
                <w:szCs w:val="26"/>
              </w:rPr>
              <w:t>школ с низкими</w:t>
              <w:br/>
              <w:t>результатами обучения и школ, функционирующих в</w:t>
              <w:br/>
              <w:t>сложных социальных условиях.</w:t>
            </w:r>
          </w:p>
          <w:p>
            <w:pPr>
              <w:pStyle w:val="Normal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>
          <w:trHeight w:val="226" w:hRule="atLeast"/>
        </w:trPr>
        <w:tc>
          <w:tcPr>
            <w:tcW w:w="4067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53" w:leader="underscore"/>
              </w:tabs>
              <w:spacing w:lineRule="exact" w:line="220"/>
              <w:ind w:left="176" w:hanging="0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exact" w:line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70" w:type="dxa"/>
            <w:vMerge w:val="continue"/>
            <w:tcBorders/>
            <w:shd w:color="auto" w:fill="auto" w:val="clear"/>
          </w:tcPr>
          <w:p>
            <w:pPr>
              <w:pStyle w:val="8"/>
              <w:spacing w:lineRule="exact" w:line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8"/>
        <w:spacing w:lineRule="exact" w:line="2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spacing w:lineRule="auto" w:line="276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>
      <w:pPr>
        <w:pStyle w:val="Normal"/>
        <w:tabs>
          <w:tab w:val="clear" w:pos="709"/>
          <w:tab w:val="left" w:pos="0" w:leader="none"/>
          <w:tab w:val="left" w:pos="90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0" w:leader="none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(ГОУ ДПО ТО «ИПК и ППРО ТО») информирует вас о том, что в соответствии с п</w:t>
      </w:r>
      <w:r>
        <w:rPr>
          <w:sz w:val="28"/>
          <w:szCs w:val="28"/>
          <w:shd w:fill="FFFFFF" w:val="clear"/>
        </w:rPr>
        <w:t>ланом-графиком мероприятий,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условиях, на 2020-2021 учебный год</w:t>
      </w:r>
      <w:r>
        <w:rPr>
          <w:rFonts w:ascii="Calibri" w:hAnsi="Calibri" w:asciiTheme="minorHAnsi" w:hAnsiTheme="minorHAnsi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 xml:space="preserve">11 февраля 2021 года проводится региональный круглый стол «Достижения и проблемы дистанционного обучения: ситуативность и оперативность управленческих решений» (далее – круглый стол). </w:t>
      </w:r>
    </w:p>
    <w:p>
      <w:pPr>
        <w:pStyle w:val="Normal"/>
        <w:tabs>
          <w:tab w:val="clear" w:pos="709"/>
          <w:tab w:val="left" w:pos="0" w:leader="none"/>
          <w:tab w:val="left" w:pos="900" w:leader="none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 рамках мероприятия планируется осветить опыт организации дистанционных форм образования в период карантинных мероприятий, влияние дистанционных технологий на качество образования, приоритеты методической работы в образовательной организации по совершенствованию ИКТ-компетенций педагогов (порядок проведения круглого стола прилагается).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круглом столе руководителей и педагогических работников образовательных организаций в соответствии с прилагаемым списком (по 3–4 человека от организации) – приложение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круглого стола: 10.00 – 11.30.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ССЫЛКИ ДЛЯ РЕГИСТРАЦИИ: 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: </w:t>
      </w:r>
      <w:hyperlink r:id="rId2">
        <w:r>
          <w:rPr>
            <w:rStyle w:val="Style8"/>
            <w:color w:val="FF0000"/>
            <w:sz w:val="28"/>
            <w:szCs w:val="28"/>
          </w:rPr>
          <w:t>https://etutorium.com/auth/register.html?token=adf72f515b7b67ca3d1247515b7b67ca3d161b71</w:t>
        </w:r>
      </w:hyperlink>
      <w:r>
        <w:rPr>
          <w:color w:val="FF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1: Программа круглого стола на 3</w:t>
      </w:r>
      <w:bookmarkStart w:id="2" w:name="_GoBack"/>
      <w:bookmarkEnd w:id="2"/>
      <w:r>
        <w:rPr>
          <w:color w:val="000000"/>
          <w:sz w:val="28"/>
          <w:szCs w:val="28"/>
        </w:rPr>
        <w:t xml:space="preserve"> 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2: Список </w:t>
      </w:r>
      <w:r>
        <w:rPr>
          <w:sz w:val="28"/>
          <w:szCs w:val="28"/>
        </w:rPr>
        <w:t>школ с низкими</w:t>
        <w:br/>
        <w:t>результатами обучения и школ, функционирующих в</w:t>
        <w:br/>
        <w:t>сложных социальных условиях.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tbl>
      <w:tblPr>
        <w:tblStyle w:val="a8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2479"/>
        <w:gridCol w:w="2905"/>
      </w:tblGrid>
      <w:tr>
        <w:trPr>
          <w:trHeight w:val="642" w:hRule="atLeast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И.о. ректора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20"/>
              <w:jc w:val="center"/>
              <w:rPr>
                <w:color w:val="FFFFFF"/>
              </w:rPr>
            </w:pPr>
            <w:bookmarkStart w:id="3" w:name="stamp_eds"/>
            <w:r>
              <w:rPr>
                <w:rFonts w:cs="PT Astra Serif" w:ascii="PT Astra Serif" w:hAnsi="PT Astra Serif"/>
                <w:b/>
                <w:color w:val="FFFFFF"/>
                <w:sz w:val="22"/>
                <w:lang w:val="en-US"/>
              </w:rPr>
              <w:t>#3#</w:t>
            </w:r>
            <w:bookmarkEnd w:id="3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Н.В. Брызжева</w:t>
            </w:r>
          </w:p>
        </w:tc>
      </w:tr>
    </w:tbl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Исп.: Пронина Лариса Николаевна </w:t>
      </w:r>
    </w:p>
    <w:p>
      <w:pPr>
        <w:pStyle w:val="Normal"/>
        <w:ind w:left="1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Тел.: +7 (910) 161-90-01.</w:t>
      </w:r>
      <w:r>
        <w:br w:type="page"/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ТУЛЬСКОЙ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образовательное учреждение дополнительного профессионального образования Тульской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«Институт повышения квалификации и профессиональной переподготовки работников образования Тульской области»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(ГОУ ДПО ТО «ИПК и ППРО ТО»)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2158365</wp:posOffset>
            </wp:positionH>
            <wp:positionV relativeFrom="paragraph">
              <wp:posOffset>144780</wp:posOffset>
            </wp:positionV>
            <wp:extent cx="1524000" cy="1552575"/>
            <wp:effectExtent l="0" t="0" r="0" b="0"/>
            <wp:wrapNone/>
            <wp:docPr id="1" name="Рисунок 2" descr="Лого 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 ИПК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РЕГИОНАЛЬНЫЙ КРУГЛЫЙ СТОЛ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«ДОСТИЖЕНИЯ И ПРОБЛЕМЫ ДИСТАНЦИОННОГО ОБУЧЕНИЯ: СИТУАТИВНОСТЬ И ОПЕРАТИВНОСТЬ УПРАВЛЕНЧЕСКИХ РЕШЕНИЙ»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 2021 года.</w:t>
            </w:r>
          </w:p>
          <w:p>
            <w:pPr>
              <w:pStyle w:val="Normal"/>
              <w:spacing w:lineRule="auto" w:line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54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>
            <w:pPr>
              <w:pStyle w:val="Normal"/>
              <w:spacing w:lineRule="auto" w:line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онлайн.</w:t>
            </w:r>
          </w:p>
        </w:tc>
      </w:tr>
    </w:tbl>
    <w:p>
      <w:pPr>
        <w:pStyle w:val="Normal"/>
        <w:spacing w:lineRule="auto" w:line="360"/>
        <w:jc w:val="center"/>
        <w:rPr>
          <w:rFonts w:ascii="Georgia" w:hAnsi="Georgia" w:eastAsia="Calibri"/>
          <w:b/>
          <w:b/>
          <w:sz w:val="28"/>
          <w:szCs w:val="28"/>
          <w:lang w:eastAsia="en-US"/>
        </w:rPr>
      </w:pPr>
      <w:r>
        <w:rPr>
          <w:rFonts w:eastAsia="Calibri" w:ascii="Georgia" w:hAnsi="Georgia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Тула, 2021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КРУГЛОГО СТОЛА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8"/>
        <w:tblW w:w="9640" w:type="dxa"/>
        <w:jc w:val="left"/>
        <w:tblInd w:w="-4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7656"/>
      </w:tblGrid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Модератор: </w:t>
            </w:r>
          </w:p>
          <w:p>
            <w:pPr>
              <w:pStyle w:val="Normal"/>
              <w:pBdr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Пронина Лариса Николаевна, </w:t>
            </w:r>
          </w:p>
          <w:p>
            <w:pPr>
              <w:pStyle w:val="Normal"/>
              <w:pBdr/>
              <w:tabs>
                <w:tab w:val="clear" w:pos="709"/>
                <w:tab w:val="left" w:pos="-108" w:leader="none"/>
              </w:tabs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доцент кафедры профессионального образования</w:t>
            </w:r>
          </w:p>
          <w:p>
            <w:pPr>
              <w:pStyle w:val="Normal"/>
              <w:pBdr/>
              <w:tabs>
                <w:tab w:val="clear" w:pos="709"/>
                <w:tab w:val="left" w:pos="-108" w:leader="none"/>
              </w:tabs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менеджмента ГОУ ДПО ТО «ИПК и ППРО ТО»,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 педагогических наук.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b/>
                <w:b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</w:rPr>
              <w:t>Выступающие: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11.10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/>
              <w:tabs>
                <w:tab w:val="clear" w:pos="709"/>
                <w:tab w:val="left" w:pos="-108" w:leader="none"/>
              </w:tabs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Михайлова Елена Андреевна,</w:t>
            </w:r>
          </w:p>
          <w:p>
            <w:pPr>
              <w:pStyle w:val="Normal"/>
              <w:pBdr/>
              <w:tabs>
                <w:tab w:val="clear" w:pos="709"/>
                <w:tab w:val="left" w:pos="-108" w:leader="none"/>
              </w:tabs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преподаватель кафедры профессионального образования и менеджмента                                                  ГОУ ДПО ТО «ИПК и ППРО ТО»,</w:t>
            </w:r>
          </w:p>
          <w:p>
            <w:pPr>
              <w:pStyle w:val="Normal"/>
              <w:pBdr/>
              <w:ind w:left="1" w:hanging="3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«Законодательство  об использовании дистанционных технологий в системе образования».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Федулова Ольга Викторовна</w:t>
            </w:r>
            <w:r>
              <w:rPr>
                <w:rFonts w:eastAsia="Calibri" w:cs="" w:cstheme="minorBidi" w:eastAsiaTheme="minorHAnsi"/>
                <w:b/>
                <w:sz w:val="28"/>
                <w:szCs w:val="28"/>
              </w:rPr>
              <w:t xml:space="preserve">, 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директора МБОУ «Лицей № 1» МО Новомосковский район;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Маркова Галина Станиславовна</w:t>
            </w:r>
            <w:r>
              <w:rPr>
                <w:rFonts w:eastAsia="Calibri" w:cs="" w:cstheme="minorBidi" w:eastAsiaTheme="minorHAnsi"/>
                <w:b/>
                <w:sz w:val="28"/>
                <w:szCs w:val="28"/>
              </w:rPr>
              <w:t xml:space="preserve">, 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МКОУ СОШ № 7 МО Ефремовский район</w:t>
            </w:r>
            <w:r>
              <w:rPr>
                <w:rFonts w:eastAsia="Calibri" w:cs="" w:cstheme="minorBidi" w:eastAsiaTheme="minorHAnsi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 xml:space="preserve"> </w:t>
            </w: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Деятельность администрации ОО по организации дистанционных форм обучения в период карантинных мероприятий</w:t>
            </w: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».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Гурьянова Оксана Ивановна</w:t>
            </w:r>
            <w:r>
              <w:rPr>
                <w:rFonts w:eastAsia="Calibri" w:cs="" w:cstheme="minorBidi" w:eastAsiaTheme="minorHAnsi"/>
                <w:b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</w:rPr>
              <w:t>директор МБОУ СОШ № 11 МО Алексинский район.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Дистанционные технологии и качество образования: идеи и реальность</w:t>
            </w: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».</w:t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Щербакова Татьяна Николаевна</w:t>
            </w:r>
            <w:r>
              <w:rPr>
                <w:rFonts w:eastAsia="Calibri" w:cs="" w:cstheme="minorBidi" w:eastAsiaTheme="minorHAnsi"/>
                <w:b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</w:rPr>
              <w:t>заместитель директора по УВР МБОУ СШ № 1 им. Героя Советского Союза Б.Н. Емельянова МО Щекинский район</w:t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Методическая работа в образовательной организации по совершенствованию ИКТ- компетенций педагогов</w:t>
            </w: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».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Пронина Лариса Николаевна, </w:t>
            </w:r>
          </w:p>
          <w:p>
            <w:pPr>
              <w:pStyle w:val="Normal"/>
              <w:pBdr/>
              <w:tabs>
                <w:tab w:val="clear" w:pos="709"/>
                <w:tab w:val="left" w:pos="-108" w:leader="none"/>
              </w:tabs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доцент кафедры профессионального образования</w:t>
            </w:r>
          </w:p>
          <w:p>
            <w:pPr>
              <w:pStyle w:val="Normal"/>
              <w:pBdr/>
              <w:tabs>
                <w:tab w:val="clear" w:pos="709"/>
                <w:tab w:val="left" w:pos="-108" w:leader="none"/>
              </w:tabs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менеджмента ГОУ ДПО ТО «ИПК и ППРО ТО»,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 педагогических наук</w:t>
            </w:r>
            <w:r>
              <w:rPr>
                <w:rFonts w:eastAsia="Calibri" w:cs="" w:cstheme="minorBidi" w:eastAsiaTheme="minorHAnsi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Мониторинговые исследования в ОО по отслеживанию эффективности дистанционных форм обучения</w:t>
            </w: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  <w:t>».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</w:r>
          </w:p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участниками круглого стола проблемы принятия управленческих решений по вопросам дистанционного обучения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круглого стола.</w:t>
            </w:r>
          </w:p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 w:cs="" w:cstheme="minorBidi" w:eastAsiaTheme="minorHAnsi"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i/>
                <w:sz w:val="28"/>
                <w:szCs w:val="28"/>
              </w:rPr>
            </w:r>
          </w:p>
        </w:tc>
      </w:tr>
      <w:tr>
        <w:trPr/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72" w:leader="none"/>
              </w:tabs>
              <w:rPr>
                <w:i/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tabs>
          <w:tab w:val="clear" w:pos="709"/>
          <w:tab w:val="left" w:pos="1665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/>
        <w:tab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PT Astra Serif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09"/>
        <w:tab w:val="left" w:pos="5760" w:leader="none"/>
      </w:tabs>
      <w:jc w:val="both"/>
      <w:outlineLvl w:val="3"/>
    </w:pPr>
    <w:rPr>
      <w:sz w:val="32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bCs/>
      <w:sz w:val="28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pPr>
      <w:keepNext w:val="true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5" w:customStyle="1">
    <w:name w:val="Текст выноски Знак"/>
    <w:link w:val="a9"/>
    <w:qFormat/>
    <w:rsid w:val="00e0390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semiHidden/>
    <w:unhideWhenUsed/>
    <w:qFormat/>
    <w:rsid w:val="00302268"/>
    <w:rPr>
      <w:sz w:val="16"/>
      <w:szCs w:val="16"/>
    </w:rPr>
  </w:style>
  <w:style w:type="character" w:styleId="Style6" w:customStyle="1">
    <w:name w:val="Текст примечания Знак"/>
    <w:basedOn w:val="DefaultParagraphFont"/>
    <w:link w:val="ac"/>
    <w:semiHidden/>
    <w:qFormat/>
    <w:rsid w:val="00302268"/>
    <w:rPr/>
  </w:style>
  <w:style w:type="character" w:styleId="Style7" w:customStyle="1">
    <w:name w:val="Тема примечания Знак"/>
    <w:basedOn w:val="Style6"/>
    <w:link w:val="ae"/>
    <w:semiHidden/>
    <w:qFormat/>
    <w:rsid w:val="00302268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302268"/>
    <w:rPr>
      <w:color w:val="808080"/>
    </w:rPr>
  </w:style>
  <w:style w:type="character" w:styleId="Style8">
    <w:name w:val="Интернет-ссылка"/>
    <w:rsid w:val="00830468"/>
    <w:rPr>
      <w:color w:val="0000FF"/>
      <w:u w:val="single"/>
    </w:rPr>
  </w:style>
  <w:style w:type="character" w:styleId="Style9" w:customStyle="1">
    <w:name w:val="Текст Знак"/>
    <w:basedOn w:val="DefaultParagraphFont"/>
    <w:link w:val="af3"/>
    <w:qFormat/>
    <w:rsid w:val="00830468"/>
    <w:rPr>
      <w:rFonts w:ascii="Courier New" w:hAnsi="Courier New"/>
    </w:rPr>
  </w:style>
  <w:style w:type="character" w:styleId="FollowedHyperlink">
    <w:name w:val="FollowedHyperlink"/>
    <w:basedOn w:val="DefaultParagraphFont"/>
    <w:semiHidden/>
    <w:unhideWhenUsed/>
    <w:qFormat/>
    <w:rsid w:val="00a4516a"/>
    <w:rPr>
      <w:color w:val="954F72" w:themeColor="followedHyperlink"/>
      <w:u w:val="single"/>
    </w:rPr>
  </w:style>
  <w:style w:type="character" w:styleId="Style10">
    <w:name w:val="Выделение"/>
    <w:basedOn w:val="DefaultParagraphFont"/>
    <w:uiPriority w:val="20"/>
    <w:qFormat/>
    <w:rsid w:val="00786a58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color w:val="FF0000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jc w:val="both"/>
    </w:pPr>
    <w:rPr>
      <w:sz w:val="32"/>
    </w:rPr>
  </w:style>
  <w:style w:type="paragraph" w:styleId="Style16">
    <w:name w:val="Body Text Indent"/>
    <w:basedOn w:val="Normal"/>
    <w:pPr>
      <w:ind w:left="510" w:hanging="0"/>
      <w:jc w:val="both"/>
    </w:pPr>
    <w:rPr>
      <w:sz w:val="32"/>
    </w:rPr>
  </w:style>
  <w:style w:type="paragraph" w:styleId="BodyTextIndent2">
    <w:name w:val="Body Text Indent 2"/>
    <w:basedOn w:val="Normal"/>
    <w:qFormat/>
    <w:pPr>
      <w:ind w:left="510" w:hanging="0"/>
      <w:jc w:val="both"/>
    </w:pPr>
    <w:rPr>
      <w:sz w:val="28"/>
    </w:rPr>
  </w:style>
  <w:style w:type="paragraph" w:styleId="Style1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1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qFormat/>
    <w:rsid w:val="00e0390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d"/>
    <w:semiHidden/>
    <w:unhideWhenUsed/>
    <w:qFormat/>
    <w:rsid w:val="0030226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semiHidden/>
    <w:unhideWhenUsed/>
    <w:qFormat/>
    <w:rsid w:val="00302268"/>
    <w:pPr/>
    <w:rPr>
      <w:b/>
      <w:bCs/>
    </w:rPr>
  </w:style>
  <w:style w:type="paragraph" w:styleId="Revision">
    <w:name w:val="Revision"/>
    <w:uiPriority w:val="99"/>
    <w:semiHidden/>
    <w:qFormat/>
    <w:rsid w:val="003022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4"/>
    <w:qFormat/>
    <w:rsid w:val="00830468"/>
    <w:pPr/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cd1b4e"/>
    <w:pPr>
      <w:widowControl/>
      <w:suppressAutoHyphens w:val="true"/>
      <w:bidi w:val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uiPriority w:val="34"/>
    <w:qFormat/>
    <w:rsid w:val="00093ba1"/>
    <w:pPr>
      <w:spacing w:before="0" w:after="0"/>
      <w:ind w:left="720" w:hanging="0"/>
      <w:contextualSpacing/>
    </w:pPr>
    <w:rPr/>
  </w:style>
  <w:style w:type="paragraph" w:styleId="Style19" w:customStyle="1">
    <w:name w:val="Знак Знак Знак Знак Знак Знак Знак"/>
    <w:basedOn w:val="Normal"/>
    <w:qFormat/>
    <w:rsid w:val="00ac604d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11" w:customStyle="1">
    <w:name w:val="Знак Знак1 Знак"/>
    <w:basedOn w:val="Normal"/>
    <w:qFormat/>
    <w:rsid w:val="00e167d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556bab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5a7dc4"/>
    <w:pPr>
      <w:spacing w:beforeAutospacing="1" w:after="119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d49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tutorium.com/auth/register.html?token=adf72f515b7b67ca3d1247515b7b67ca3d161b71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7867-6F5D-4452-92B3-DC8581A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(гос. учреждения)</Template>
  <TotalTime>314</TotalTime>
  <Application>Neat_Office/6.2.8.2$Windows_x86 LibreOffice_project/</Application>
  <Pages>7</Pages>
  <Words>506</Words>
  <Characters>3836</Characters>
  <CharactersWithSpaces>4343</CharactersWithSpaces>
  <Paragraphs>77</Paragraphs>
  <Company>ГПУ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2020-10-07T07:44:00Z</dcterms:created>
  <dc:creator>Мельникова Татьяна Львовна</dc:creator>
  <dc:description/>
  <dc:language>ru-RU</dc:language>
  <cp:lastModifiedBy>Лариса Пронина</cp:lastModifiedBy>
  <cp:lastPrinted>2015-07-17T13:13:00Z</cp:lastPrinted>
  <dcterms:modified xsi:type="dcterms:W3CDTF">2021-02-05T06:00:00Z</dcterms:modified>
  <cp:revision>13</cp:revision>
  <dc:subject>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ГПУ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